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7E" w:rsidRDefault="00EB4F7E" w:rsidP="00BB3387">
      <w:pPr>
        <w:pStyle w:val="Heading1"/>
        <w:spacing w:before="240"/>
        <w:jc w:val="center"/>
        <w:rPr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-323850</wp:posOffset>
            </wp:positionV>
            <wp:extent cx="1886585" cy="819785"/>
            <wp:effectExtent l="0" t="0" r="0" b="0"/>
            <wp:wrapTight wrapText="bothSides">
              <wp:wrapPolygon edited="0">
                <wp:start x="0" y="0"/>
                <wp:lineTo x="0" y="21081"/>
                <wp:lineTo x="21375" y="21081"/>
                <wp:lineTo x="213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CB9" w:rsidRDefault="00C446B0" w:rsidP="001103CA">
      <w:pPr>
        <w:pStyle w:val="Heading1"/>
        <w:spacing w:before="0"/>
        <w:jc w:val="center"/>
        <w:rPr>
          <w:lang w:val="en-NZ"/>
        </w:rPr>
      </w:pPr>
      <w:r>
        <w:rPr>
          <w:lang w:val="en-NZ"/>
        </w:rPr>
        <w:t xml:space="preserve">Installing </w:t>
      </w:r>
      <w:r w:rsidR="00927089">
        <w:rPr>
          <w:lang w:val="en-NZ"/>
        </w:rPr>
        <w:t>Patient Dashboard</w:t>
      </w:r>
      <w:r w:rsidR="00325F91">
        <w:rPr>
          <w:lang w:val="en-NZ"/>
        </w:rPr>
        <w:t xml:space="preserve"> V4</w:t>
      </w:r>
    </w:p>
    <w:p w:rsidR="00C446B0" w:rsidRDefault="009D5723" w:rsidP="00C446B0">
      <w:pPr>
        <w:pStyle w:val="Heading2"/>
        <w:rPr>
          <w:lang w:val="en-NZ"/>
        </w:rPr>
      </w:pPr>
      <w:r>
        <w:rPr>
          <w:lang w:val="en-NZ"/>
        </w:rPr>
        <w:t xml:space="preserve">1. </w:t>
      </w:r>
      <w:r w:rsidR="00C446B0"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9" w:history="1">
        <w:r w:rsidR="003857D0" w:rsidRPr="001561FB">
          <w:rPr>
            <w:rStyle w:val="Hyperlink"/>
            <w:lang w:val="en-NZ"/>
          </w:rPr>
          <w:t>www.procon.co.nz/wellsouth.html</w:t>
        </w:r>
      </w:hyperlink>
      <w:r w:rsidR="00F8758C">
        <w:rPr>
          <w:lang w:val="en-NZ"/>
        </w:rPr>
        <w:t xml:space="preserve"> </w:t>
      </w:r>
    </w:p>
    <w:p w:rsidR="00C446B0" w:rsidRDefault="00BA4060" w:rsidP="00C446B0">
      <w:pPr>
        <w:rPr>
          <w:lang w:val="en-NZ"/>
        </w:rPr>
      </w:pPr>
      <w:r>
        <w:rPr>
          <w:lang w:val="en-NZ"/>
        </w:rPr>
        <w:t xml:space="preserve">Unzip the downloaded ZIP file.  It contains </w:t>
      </w:r>
      <w:r w:rsidR="00530D28">
        <w:rPr>
          <w:lang w:val="en-NZ"/>
        </w:rPr>
        <w:t xml:space="preserve">four </w:t>
      </w:r>
      <w:r>
        <w:rPr>
          <w:lang w:val="en-NZ"/>
        </w:rPr>
        <w:t>folders:</w:t>
      </w:r>
    </w:p>
    <w:p w:rsidR="00C6467F" w:rsidRDefault="00C6467F" w:rsidP="00C6467F">
      <w:pPr>
        <w:spacing w:before="0"/>
        <w:rPr>
          <w:lang w:val="en-NZ"/>
        </w:rPr>
      </w:pPr>
    </w:p>
    <w:p w:rsidR="00C6467F" w:rsidRDefault="00C6467F" w:rsidP="00BA4060">
      <w:pPr>
        <w:pStyle w:val="ListBullet"/>
        <w:rPr>
          <w:lang w:val="en-NZ"/>
        </w:rPr>
        <w:sectPr w:rsidR="00C6467F" w:rsidSect="00C446B0">
          <w:footerReference w:type="default" r:id="rId10"/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lastRenderedPageBreak/>
        <w:t>Forms</w:t>
      </w:r>
    </w:p>
    <w:p w:rsidR="00530D28" w:rsidRDefault="00530D28" w:rsidP="00530D28">
      <w:pPr>
        <w:pStyle w:val="ListBullet"/>
        <w:rPr>
          <w:lang w:val="en-NZ"/>
        </w:rPr>
      </w:pPr>
      <w:r>
        <w:rPr>
          <w:lang w:val="en-NZ"/>
        </w:rPr>
        <w:t>License Update</w:t>
      </w:r>
    </w:p>
    <w:p w:rsidR="00530D28" w:rsidRDefault="00530D28" w:rsidP="00BA4060">
      <w:pPr>
        <w:pStyle w:val="ListBullet"/>
        <w:rPr>
          <w:lang w:val="en-NZ"/>
        </w:rPr>
      </w:pPr>
      <w:proofErr w:type="spellStart"/>
      <w:r>
        <w:rPr>
          <w:lang w:val="en-NZ"/>
        </w:rPr>
        <w:lastRenderedPageBreak/>
        <w:t>SQLs</w:t>
      </w:r>
      <w:proofErr w:type="spellEnd"/>
    </w:p>
    <w:p w:rsidR="00530D28" w:rsidRDefault="00530D28" w:rsidP="00BA4060">
      <w:pPr>
        <w:pStyle w:val="ListBullet"/>
        <w:rPr>
          <w:lang w:val="en-NZ"/>
        </w:rPr>
      </w:pPr>
      <w:r>
        <w:rPr>
          <w:lang w:val="en-NZ"/>
        </w:rPr>
        <w:t>Screening Terms</w:t>
      </w:r>
    </w:p>
    <w:p w:rsidR="00C6467F" w:rsidRDefault="00C6467F" w:rsidP="00BA4060">
      <w:pPr>
        <w:pStyle w:val="Heading2"/>
        <w:rPr>
          <w:lang w:val="en-NZ"/>
        </w:rPr>
        <w:sectPr w:rsidR="00C6467F" w:rsidSect="00C6467F">
          <w:type w:val="continuous"/>
          <w:pgSz w:w="11907" w:h="16839" w:code="9"/>
          <w:pgMar w:top="720" w:right="720" w:bottom="720" w:left="720" w:header="708" w:footer="708" w:gutter="0"/>
          <w:cols w:num="2" w:space="708"/>
          <w:docGrid w:linePitch="360"/>
        </w:sectPr>
      </w:pPr>
    </w:p>
    <w:p w:rsidR="00BA4060" w:rsidRDefault="009D5723" w:rsidP="00BA4060">
      <w:pPr>
        <w:pStyle w:val="Heading2"/>
        <w:rPr>
          <w:lang w:val="en-NZ"/>
        </w:rPr>
      </w:pPr>
      <w:r>
        <w:rPr>
          <w:lang w:val="en-NZ"/>
        </w:rPr>
        <w:lastRenderedPageBreak/>
        <w:t xml:space="preserve">2. </w:t>
      </w:r>
      <w:r w:rsidR="00530D28">
        <w:rPr>
          <w:lang w:val="en-NZ"/>
        </w:rPr>
        <w:t>U</w:t>
      </w:r>
      <w:r w:rsidR="00BA4060">
        <w:rPr>
          <w:lang w:val="en-NZ"/>
        </w:rPr>
        <w:t>pdate the Medtech license to allow “</w:t>
      </w:r>
      <w:proofErr w:type="spellStart"/>
      <w:r w:rsidR="00BA4060">
        <w:rPr>
          <w:lang w:val="en-NZ"/>
        </w:rPr>
        <w:t>PCON</w:t>
      </w:r>
      <w:proofErr w:type="spellEnd"/>
      <w:r w:rsidR="00BA4060">
        <w:rPr>
          <w:lang w:val="en-NZ"/>
        </w:rPr>
        <w:t>” forms to run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Run the executable found in the “License Update” folder.  This will add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as a valid publisher code for both Advanced Form and Dynamic Forms.</w:t>
      </w:r>
    </w:p>
    <w:p w:rsidR="00335B04" w:rsidRDefault="009D5723" w:rsidP="00BA4060">
      <w:pPr>
        <w:pStyle w:val="Heading2"/>
        <w:rPr>
          <w:lang w:val="en-NZ"/>
        </w:rPr>
      </w:pPr>
      <w:r>
        <w:rPr>
          <w:lang w:val="en-NZ"/>
        </w:rPr>
        <w:t xml:space="preserve">3. </w:t>
      </w:r>
      <w:r w:rsidR="008C2938">
        <w:rPr>
          <w:lang w:val="en-NZ"/>
        </w:rPr>
        <w:t>Screening terms and in-box mapping</w:t>
      </w:r>
    </w:p>
    <w:p w:rsidR="00335B04" w:rsidRDefault="00530D28" w:rsidP="00335B04">
      <w:r>
        <w:t>Ensure that screening terms exist for:</w:t>
      </w:r>
    </w:p>
    <w:p w:rsidR="00667D4C" w:rsidRPr="00530D28" w:rsidRDefault="00667D4C" w:rsidP="00667D4C">
      <w:pPr>
        <w:spacing w:before="0"/>
      </w:pPr>
    </w:p>
    <w:p w:rsidR="00667D4C" w:rsidRDefault="00667D4C" w:rsidP="00335B04">
      <w:pPr>
        <w:pStyle w:val="ListBullet"/>
        <w:rPr>
          <w:lang w:val="en-NZ"/>
        </w:rPr>
        <w:sectPr w:rsidR="00667D4C" w:rsidSect="00C6467F">
          <w:type w:val="continuous"/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</w:p>
    <w:p w:rsidR="00335B04" w:rsidRDefault="00335B04" w:rsidP="00335B04">
      <w:pPr>
        <w:pStyle w:val="ListBullet"/>
        <w:rPr>
          <w:lang w:val="en-NZ"/>
        </w:rPr>
      </w:pPr>
      <w:r>
        <w:rPr>
          <w:lang w:val="en-NZ"/>
        </w:rPr>
        <w:lastRenderedPageBreak/>
        <w:t>Retinal Screening</w:t>
      </w:r>
    </w:p>
    <w:p w:rsidR="00335B04" w:rsidRDefault="00335B04" w:rsidP="00335B04">
      <w:pPr>
        <w:pStyle w:val="ListBullet"/>
        <w:rPr>
          <w:lang w:val="en-NZ"/>
        </w:rPr>
      </w:pPr>
      <w:r>
        <w:rPr>
          <w:lang w:val="en-NZ"/>
        </w:rPr>
        <w:t>Diabetes Foot Risk</w:t>
      </w:r>
      <w:r w:rsidR="00530D28">
        <w:rPr>
          <w:lang w:val="en-NZ"/>
        </w:rPr>
        <w:t xml:space="preserve"> Assessment</w:t>
      </w:r>
    </w:p>
    <w:p w:rsidR="00335B04" w:rsidRDefault="00335B04" w:rsidP="00335B04">
      <w:pPr>
        <w:pStyle w:val="ListBullet"/>
        <w:rPr>
          <w:lang w:val="en-NZ"/>
        </w:rPr>
      </w:pPr>
      <w:r>
        <w:rPr>
          <w:lang w:val="en-NZ"/>
        </w:rPr>
        <w:t>Albumin Creatinine Ratio</w:t>
      </w:r>
    </w:p>
    <w:p w:rsidR="00530D28" w:rsidRDefault="00530D28" w:rsidP="00335B04">
      <w:pPr>
        <w:pStyle w:val="ListBullet"/>
        <w:rPr>
          <w:lang w:val="en-NZ"/>
        </w:rPr>
      </w:pPr>
      <w:proofErr w:type="spellStart"/>
      <w:r>
        <w:rPr>
          <w:lang w:val="en-NZ"/>
        </w:rPr>
        <w:lastRenderedPageBreak/>
        <w:t>eGFR</w:t>
      </w:r>
      <w:proofErr w:type="spellEnd"/>
    </w:p>
    <w:p w:rsidR="00530D28" w:rsidRDefault="00530D28" w:rsidP="00335B04">
      <w:pPr>
        <w:pStyle w:val="ListBullet"/>
        <w:rPr>
          <w:lang w:val="en-NZ"/>
        </w:rPr>
      </w:pPr>
      <w:r>
        <w:rPr>
          <w:lang w:val="en-NZ"/>
        </w:rPr>
        <w:t>Serum Creatinine</w:t>
      </w:r>
    </w:p>
    <w:p w:rsidR="002D1BEA" w:rsidRDefault="002D1BEA" w:rsidP="00335B04">
      <w:pPr>
        <w:pStyle w:val="ListBullet"/>
        <w:rPr>
          <w:lang w:val="en-NZ"/>
        </w:rPr>
      </w:pPr>
      <w:r>
        <w:rPr>
          <w:lang w:val="en-NZ"/>
        </w:rPr>
        <w:t>BMI</w:t>
      </w:r>
    </w:p>
    <w:p w:rsidR="00667D4C" w:rsidRDefault="00667D4C" w:rsidP="008C2938">
      <w:pPr>
        <w:rPr>
          <w:lang w:val="en-NZ"/>
        </w:rPr>
        <w:sectPr w:rsidR="00667D4C" w:rsidSect="00667D4C">
          <w:type w:val="continuous"/>
          <w:pgSz w:w="11907" w:h="16839" w:code="9"/>
          <w:pgMar w:top="720" w:right="720" w:bottom="720" w:left="720" w:header="708" w:footer="708" w:gutter="0"/>
          <w:cols w:num="2" w:space="708"/>
          <w:docGrid w:linePitch="360"/>
        </w:sectPr>
      </w:pPr>
    </w:p>
    <w:p w:rsidR="00667D4C" w:rsidRDefault="005B2A77" w:rsidP="008C2938">
      <w:pPr>
        <w:rPr>
          <w:lang w:val="en-NZ"/>
        </w:rPr>
      </w:pPr>
      <w:r>
        <w:rPr>
          <w:lang w:val="en-NZ"/>
        </w:rPr>
        <w:lastRenderedPageBreak/>
        <w:t>Standard screening terms are available for import within the installation package.</w:t>
      </w:r>
    </w:p>
    <w:p w:rsidR="005B2A77" w:rsidRDefault="005B2A77" w:rsidP="005B2A77">
      <w:pPr>
        <w:pStyle w:val="Heading2"/>
        <w:rPr>
          <w:lang w:val="en-NZ"/>
        </w:rPr>
      </w:pPr>
      <w:r>
        <w:rPr>
          <w:lang w:val="en-NZ"/>
        </w:rPr>
        <w:t>4. In-box Mapping</w:t>
      </w:r>
    </w:p>
    <w:p w:rsidR="005B2A77" w:rsidRDefault="005B2A77" w:rsidP="005B2A77">
      <w:pPr>
        <w:pStyle w:val="ListBullet"/>
        <w:numPr>
          <w:ilvl w:val="0"/>
          <w:numId w:val="0"/>
        </w:numPr>
        <w:ind w:left="357" w:hanging="357"/>
        <w:rPr>
          <w:lang w:val="en-NZ"/>
        </w:rPr>
      </w:pPr>
      <w:r>
        <w:rPr>
          <w:lang w:val="en-NZ"/>
        </w:rPr>
        <w:t>Ensure that lab test results are being correctly mapped to screening for:</w:t>
      </w:r>
    </w:p>
    <w:p w:rsidR="006B2FEB" w:rsidRDefault="006B2FEB" w:rsidP="005B2A77">
      <w:pPr>
        <w:pStyle w:val="ListBullet"/>
        <w:numPr>
          <w:ilvl w:val="0"/>
          <w:numId w:val="0"/>
        </w:numPr>
        <w:ind w:left="357" w:hanging="357"/>
        <w:rPr>
          <w:lang w:val="en-NZ"/>
        </w:rPr>
      </w:pPr>
    </w:p>
    <w:p w:rsidR="00C6467F" w:rsidRDefault="00C6467F" w:rsidP="005B2A77">
      <w:pPr>
        <w:pStyle w:val="ListBullet"/>
        <w:rPr>
          <w:lang w:val="en-NZ"/>
        </w:rPr>
        <w:sectPr w:rsidR="00C6467F" w:rsidSect="00667D4C">
          <w:type w:val="continuous"/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</w:p>
    <w:p w:rsidR="005B2A77" w:rsidRDefault="005B2A77" w:rsidP="005B2A77">
      <w:pPr>
        <w:pStyle w:val="ListBullet"/>
        <w:rPr>
          <w:lang w:val="en-NZ"/>
        </w:rPr>
      </w:pPr>
      <w:r>
        <w:rPr>
          <w:lang w:val="en-NZ"/>
        </w:rPr>
        <w:lastRenderedPageBreak/>
        <w:t>LDL</w:t>
      </w:r>
    </w:p>
    <w:p w:rsidR="005B2A77" w:rsidRDefault="005B2A77" w:rsidP="005B2A77">
      <w:pPr>
        <w:pStyle w:val="ListBullet"/>
        <w:rPr>
          <w:lang w:val="en-NZ"/>
        </w:rPr>
      </w:pPr>
      <w:r>
        <w:rPr>
          <w:lang w:val="en-NZ"/>
        </w:rPr>
        <w:t>hbA1c</w:t>
      </w:r>
    </w:p>
    <w:p w:rsidR="005B2A77" w:rsidRDefault="005B2A77" w:rsidP="005B2A77">
      <w:pPr>
        <w:pStyle w:val="ListBullet"/>
        <w:rPr>
          <w:lang w:val="en-NZ"/>
        </w:rPr>
      </w:pPr>
      <w:r>
        <w:rPr>
          <w:lang w:val="en-NZ"/>
        </w:rPr>
        <w:t>Urine Albumin Creatinine Ratio</w:t>
      </w:r>
    </w:p>
    <w:p w:rsidR="005B2A77" w:rsidRDefault="005B2A77" w:rsidP="005B2A77">
      <w:pPr>
        <w:pStyle w:val="ListBullet"/>
        <w:rPr>
          <w:lang w:val="en-NZ"/>
        </w:rPr>
      </w:pPr>
      <w:r>
        <w:rPr>
          <w:lang w:val="en-NZ"/>
        </w:rPr>
        <w:lastRenderedPageBreak/>
        <w:t>Serum Creatinine</w:t>
      </w:r>
    </w:p>
    <w:p w:rsidR="005B2A77" w:rsidRDefault="005B2A77" w:rsidP="005B2A77">
      <w:pPr>
        <w:pStyle w:val="ListBullet"/>
        <w:rPr>
          <w:lang w:val="en-NZ"/>
        </w:rPr>
      </w:pPr>
      <w:proofErr w:type="spellStart"/>
      <w:r>
        <w:rPr>
          <w:lang w:val="en-NZ"/>
        </w:rPr>
        <w:t>eGFR</w:t>
      </w:r>
      <w:proofErr w:type="spellEnd"/>
    </w:p>
    <w:p w:rsidR="00C6467F" w:rsidRDefault="00C6467F" w:rsidP="008C2938">
      <w:pPr>
        <w:rPr>
          <w:lang w:val="en-NZ"/>
        </w:rPr>
        <w:sectPr w:rsidR="00C6467F" w:rsidSect="00C6467F">
          <w:type w:val="continuous"/>
          <w:pgSz w:w="11907" w:h="16839" w:code="9"/>
          <w:pgMar w:top="720" w:right="720" w:bottom="720" w:left="720" w:header="708" w:footer="708" w:gutter="0"/>
          <w:cols w:num="2" w:space="708"/>
          <w:docGrid w:linePitch="360"/>
        </w:sectPr>
      </w:pPr>
    </w:p>
    <w:p w:rsidR="008C2938" w:rsidRDefault="006B2FEB" w:rsidP="008C2938">
      <w:pPr>
        <w:rPr>
          <w:lang w:val="en-NZ"/>
        </w:rPr>
      </w:pPr>
      <w:r>
        <w:rPr>
          <w:lang w:val="en-NZ"/>
        </w:rPr>
        <w:lastRenderedPageBreak/>
        <w:t xml:space="preserve">An </w:t>
      </w:r>
      <w:r w:rsidR="006943F9">
        <w:rPr>
          <w:lang w:val="en-NZ"/>
        </w:rPr>
        <w:t xml:space="preserve">SQL </w:t>
      </w:r>
      <w:r>
        <w:rPr>
          <w:lang w:val="en-NZ"/>
        </w:rPr>
        <w:t xml:space="preserve">is </w:t>
      </w:r>
      <w:r w:rsidR="006943F9">
        <w:rPr>
          <w:lang w:val="en-NZ"/>
        </w:rPr>
        <w:t>available (in the SQL folder) to assist you:</w:t>
      </w:r>
    </w:p>
    <w:p w:rsidR="006943F9" w:rsidRDefault="006943F9" w:rsidP="006943F9">
      <w:pPr>
        <w:pStyle w:val="ListBullet"/>
        <w:rPr>
          <w:lang w:val="en-NZ"/>
        </w:rPr>
      </w:pPr>
      <w:r>
        <w:rPr>
          <w:lang w:val="en-NZ"/>
        </w:rPr>
        <w:t>“</w:t>
      </w:r>
      <w:r w:rsidRPr="006943F9">
        <w:rPr>
          <w:lang w:val="en-NZ"/>
        </w:rPr>
        <w:t>Show Recent Test Results and Mapping</w:t>
      </w:r>
      <w:r>
        <w:rPr>
          <w:lang w:val="en-NZ"/>
        </w:rPr>
        <w:t xml:space="preserve">” will display </w:t>
      </w:r>
      <w:r w:rsidR="006B2FEB">
        <w:rPr>
          <w:lang w:val="en-NZ"/>
        </w:rPr>
        <w:t>test results received by the practice with the most common test result at the top, and the screening term, if any, that the test result has been mapped to.</w:t>
      </w:r>
    </w:p>
    <w:p w:rsidR="00BA4060" w:rsidRDefault="006B2FEB" w:rsidP="00BA4060">
      <w:pPr>
        <w:pStyle w:val="Heading2"/>
        <w:rPr>
          <w:lang w:val="en-NZ"/>
        </w:rPr>
      </w:pPr>
      <w:r>
        <w:rPr>
          <w:lang w:val="en-NZ"/>
        </w:rPr>
        <w:t>5</w:t>
      </w:r>
      <w:r w:rsidR="009D5723">
        <w:rPr>
          <w:lang w:val="en-NZ"/>
        </w:rPr>
        <w:t xml:space="preserve">. </w:t>
      </w:r>
      <w:r w:rsidR="00BA4060">
        <w:rPr>
          <w:lang w:val="en-NZ"/>
        </w:rPr>
        <w:t>Import the Advanced Forms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“Forms” folder.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 xml:space="preserve">Patient Dashboard Customise </w:t>
      </w:r>
      <w:r w:rsidR="003857D0">
        <w:rPr>
          <w:lang w:val="en-NZ"/>
        </w:rPr>
        <w:t>Well South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 xml:space="preserve">Patient Dashboard V4 </w:t>
      </w:r>
      <w:r w:rsidR="003857D0">
        <w:rPr>
          <w:lang w:val="en-NZ"/>
        </w:rPr>
        <w:t>Well South</w:t>
      </w:r>
    </w:p>
    <w:p w:rsidR="00927089" w:rsidRDefault="00937ED3" w:rsidP="00BB3387">
      <w:pPr>
        <w:pStyle w:val="ListBullet"/>
        <w:rPr>
          <w:lang w:val="en-NZ"/>
        </w:rPr>
      </w:pPr>
      <w:r>
        <w:rPr>
          <w:lang w:val="en-NZ"/>
        </w:rPr>
        <w:t>Procon Concepts and Coding Terms</w:t>
      </w:r>
    </w:p>
    <w:p w:rsidR="00F84DE7" w:rsidRPr="00F84DE7" w:rsidRDefault="00F84DE7" w:rsidP="00E04D16">
      <w:pPr>
        <w:pStyle w:val="ListBullet"/>
        <w:numPr>
          <w:ilvl w:val="0"/>
          <w:numId w:val="0"/>
        </w:numPr>
        <w:ind w:left="357" w:hanging="357"/>
        <w:contextualSpacing w:val="0"/>
        <w:rPr>
          <w:i/>
          <w:lang w:val="en-NZ"/>
        </w:rPr>
      </w:pPr>
      <w:r>
        <w:rPr>
          <w:i/>
          <w:lang w:val="en-NZ"/>
        </w:rPr>
        <w:t>Exit Medtech and sign in again.</w:t>
      </w:r>
    </w:p>
    <w:p w:rsidR="00E236F7" w:rsidRDefault="007F14BA" w:rsidP="000B01D5">
      <w:pPr>
        <w:pStyle w:val="Heading2"/>
        <w:spacing w:before="0"/>
        <w:rPr>
          <w:lang w:val="en-NZ"/>
        </w:rPr>
      </w:pPr>
      <w:r>
        <w:rPr>
          <w:lang w:val="en-NZ"/>
        </w:rPr>
        <w:br w:type="column"/>
      </w:r>
      <w:r w:rsidR="00C6467F">
        <w:rPr>
          <w:lang w:val="en-NZ"/>
        </w:rPr>
        <w:lastRenderedPageBreak/>
        <w:t>6</w:t>
      </w:r>
      <w:r w:rsidR="009D5723">
        <w:rPr>
          <w:lang w:val="en-NZ"/>
        </w:rPr>
        <w:t xml:space="preserve">. </w:t>
      </w:r>
      <w:r w:rsidR="00E236F7">
        <w:rPr>
          <w:lang w:val="en-NZ"/>
        </w:rPr>
        <w:t>Check Concept Map</w:t>
      </w:r>
      <w:bookmarkStart w:id="0" w:name="_GoBack"/>
      <w:bookmarkEnd w:id="0"/>
    </w:p>
    <w:p w:rsidR="00E236F7" w:rsidRDefault="00E236F7" w:rsidP="00E236F7">
      <w:pPr>
        <w:rPr>
          <w:i/>
          <w:lang w:val="en-NZ"/>
        </w:rPr>
      </w:pPr>
      <w:r>
        <w:rPr>
          <w:i/>
          <w:lang w:val="en-NZ"/>
        </w:rPr>
        <w:t xml:space="preserve">Setup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Advanced Forms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Concept Map</w:t>
      </w:r>
    </w:p>
    <w:p w:rsidR="00E236F7" w:rsidRDefault="00E236F7" w:rsidP="00E236F7">
      <w:pPr>
        <w:spacing w:before="0"/>
        <w:rPr>
          <w:i/>
          <w:lang w:val="en-NZ"/>
        </w:rPr>
      </w:pPr>
      <w:r>
        <w:rPr>
          <w:i/>
          <w:lang w:val="en-NZ"/>
        </w:rPr>
        <w:t>Publisher = “Procon Limited”</w:t>
      </w:r>
    </w:p>
    <w:p w:rsidR="00683380" w:rsidRDefault="00BB3387" w:rsidP="00E236F7">
      <w:pPr>
        <w:rPr>
          <w:lang w:val="en-NZ"/>
        </w:rPr>
      </w:pPr>
      <w:r>
        <w:rPr>
          <w:lang w:val="en-NZ"/>
        </w:rPr>
        <w:t xml:space="preserve">Check that </w:t>
      </w:r>
      <w:r w:rsidR="00124F6F">
        <w:rPr>
          <w:lang w:val="en-NZ"/>
        </w:rPr>
        <w:t xml:space="preserve">all </w:t>
      </w:r>
      <w:r>
        <w:rPr>
          <w:lang w:val="en-NZ"/>
        </w:rPr>
        <w:t>concepts are correctly mapped.</w:t>
      </w:r>
      <w:r w:rsidR="00124F6F">
        <w:rPr>
          <w:lang w:val="en-NZ"/>
        </w:rPr>
        <w:t xml:space="preserve">  </w:t>
      </w:r>
      <w:r w:rsidR="00AF3070">
        <w:rPr>
          <w:lang w:val="en-NZ"/>
        </w:rPr>
        <w:t>The following concepts are particular</w:t>
      </w:r>
      <w:r w:rsidR="00683380">
        <w:rPr>
          <w:lang w:val="en-NZ"/>
        </w:rPr>
        <w:t>ly</w:t>
      </w:r>
      <w:r w:rsidR="00AF3070">
        <w:rPr>
          <w:lang w:val="en-NZ"/>
        </w:rPr>
        <w:t xml:space="preserve"> important:</w:t>
      </w:r>
    </w:p>
    <w:p w:rsidR="0063270B" w:rsidRDefault="0063270B" w:rsidP="0063270B">
      <w:pPr>
        <w:spacing w:before="0"/>
        <w:rPr>
          <w:lang w:val="en-NZ"/>
        </w:rPr>
      </w:pPr>
    </w:p>
    <w:tbl>
      <w:tblPr>
        <w:tblW w:w="10590" w:type="dxa"/>
        <w:tblInd w:w="93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291"/>
        <w:gridCol w:w="5528"/>
        <w:gridCol w:w="3771"/>
      </w:tblGrid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E236F7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E236F7" w:rsidRDefault="00A34A2B" w:rsidP="00CC19FC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E236F7">
              <w:rPr>
                <w:rFonts w:ascii="Calibri" w:hAnsi="Calibri"/>
                <w:color w:val="000000"/>
                <w:szCs w:val="22"/>
                <w:lang w:val="en-NZ" w:eastAsia="en-NZ"/>
              </w:rPr>
              <w:t>10.2.10.1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E236F7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Vault Smear Outcome Code </w:t>
            </w:r>
          </w:p>
        </w:tc>
        <w:tc>
          <w:tcPr>
            <w:tcW w:w="3771" w:type="dxa"/>
          </w:tcPr>
          <w:p w:rsidR="00A34A2B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10.2.11.3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Outcome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10.2.12.3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 Descr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iption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Outcome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10.2.14.3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Outcome Descr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iption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Systolic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10.2.22.1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Mammography Outcome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 Date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10.2.5.1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BMI Value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Value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 </w:t>
            </w:r>
          </w:p>
        </w:tc>
        <w:tc>
          <w:tcPr>
            <w:tcW w:w="3771" w:type="dxa"/>
          </w:tcPr>
          <w:p w:rsidR="00A34A2B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10.2.6.2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Date</w:t>
            </w:r>
          </w:p>
        </w:tc>
        <w:tc>
          <w:tcPr>
            <w:tcW w:w="3771" w:type="dxa"/>
          </w:tcPr>
          <w:p w:rsidR="00A34A2B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10.2.7.1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CX Outcome Code</w:t>
            </w:r>
          </w:p>
        </w:tc>
        <w:tc>
          <w:tcPr>
            <w:tcW w:w="3771" w:type="dxa"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345C20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345C20" w:rsidRPr="00683380" w:rsidRDefault="00345C20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20.4.1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345C20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Diabetes Annual Review Outcome</w:t>
            </w:r>
          </w:p>
        </w:tc>
        <w:tc>
          <w:tcPr>
            <w:tcW w:w="3771" w:type="dxa"/>
          </w:tcPr>
          <w:p w:rsidR="00345C20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345C20" w:rsidRPr="00AF3070" w:rsidTr="00306CC6">
        <w:trPr>
          <w:trHeight w:val="300"/>
        </w:trPr>
        <w:tc>
          <w:tcPr>
            <w:tcW w:w="1291" w:type="dxa"/>
            <w:shd w:val="clear" w:color="auto" w:fill="auto"/>
            <w:noWrap/>
            <w:vAlign w:val="bottom"/>
          </w:tcPr>
          <w:p w:rsidR="00345C20" w:rsidRDefault="00345C20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20.4.2</w:t>
            </w:r>
          </w:p>
        </w:tc>
        <w:tc>
          <w:tcPr>
            <w:tcW w:w="5528" w:type="dxa"/>
            <w:shd w:val="clear" w:color="auto" w:fill="auto"/>
            <w:noWrap/>
            <w:vAlign w:val="bottom"/>
          </w:tcPr>
          <w:p w:rsidR="00345C2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Diabetes Annual Review outcome Date</w:t>
            </w:r>
          </w:p>
        </w:tc>
        <w:tc>
          <w:tcPr>
            <w:tcW w:w="3771" w:type="dxa"/>
          </w:tcPr>
          <w:p w:rsidR="00345C2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</w:tbl>
    <w:p w:rsidR="00683380" w:rsidRDefault="007F14BA" w:rsidP="00E236F7">
      <w:pPr>
        <w:rPr>
          <w:lang w:val="en-NZ"/>
        </w:rPr>
      </w:pPr>
      <w:r>
        <w:rPr>
          <w:lang w:val="en-NZ"/>
        </w:rPr>
        <w:t>Other concepts that do not appear in the above list may be left unmapped as they are used in other versions of Patient Dashboard and/or other forms</w:t>
      </w:r>
      <w:r w:rsidR="00F0035C">
        <w:rPr>
          <w:lang w:val="en-NZ"/>
        </w:rPr>
        <w:t xml:space="preserve"> or will default correctly without modification</w:t>
      </w:r>
      <w:r>
        <w:rPr>
          <w:lang w:val="en-NZ"/>
        </w:rPr>
        <w:t>.</w:t>
      </w:r>
    </w:p>
    <w:p w:rsidR="009849FE" w:rsidRPr="00DD087C" w:rsidRDefault="00BA4060" w:rsidP="009849FE">
      <w:pPr>
        <w:rPr>
          <w:i/>
          <w:lang w:val="en-NZ"/>
        </w:rPr>
      </w:pPr>
      <w:r w:rsidRPr="00DD087C">
        <w:rPr>
          <w:i/>
          <w:lang w:val="en-NZ"/>
        </w:rPr>
        <w:t>Exit</w:t>
      </w:r>
      <w:r w:rsidR="009849FE" w:rsidRPr="00DD087C">
        <w:rPr>
          <w:i/>
          <w:lang w:val="en-NZ"/>
        </w:rPr>
        <w:t xml:space="preserve"> Medtech and then sign in again.</w:t>
      </w:r>
    </w:p>
    <w:p w:rsidR="009401ED" w:rsidRDefault="007F14BA" w:rsidP="00DD087C">
      <w:pPr>
        <w:pStyle w:val="Heading2"/>
        <w:rPr>
          <w:lang w:val="en-NZ"/>
        </w:rPr>
      </w:pPr>
      <w:r>
        <w:rPr>
          <w:lang w:val="en-NZ"/>
        </w:rPr>
        <w:br w:type="column"/>
      </w:r>
      <w:r w:rsidR="00C6467F">
        <w:rPr>
          <w:lang w:val="en-NZ"/>
        </w:rPr>
        <w:lastRenderedPageBreak/>
        <w:t>7</w:t>
      </w:r>
      <w:r w:rsidR="009D5723">
        <w:rPr>
          <w:lang w:val="en-NZ"/>
        </w:rPr>
        <w:t xml:space="preserve">. </w:t>
      </w:r>
      <w:r w:rsidR="00DD087C">
        <w:rPr>
          <w:lang w:val="en-NZ"/>
        </w:rPr>
        <w:t>Check and Update Customisation</w:t>
      </w:r>
    </w:p>
    <w:p w:rsidR="00DD087C" w:rsidRDefault="00445B80" w:rsidP="00DD087C">
      <w:pPr>
        <w:rPr>
          <w:lang w:val="en-NZ"/>
        </w:rPr>
      </w:pPr>
      <w:r>
        <w:rPr>
          <w:lang w:val="en-NZ"/>
        </w:rPr>
        <w:t>Create a new</w:t>
      </w:r>
      <w:r w:rsidR="00DD087C">
        <w:rPr>
          <w:lang w:val="en-NZ"/>
        </w:rPr>
        <w:t xml:space="preserve"> patient on </w:t>
      </w:r>
      <w:r>
        <w:rPr>
          <w:lang w:val="en-NZ"/>
        </w:rPr>
        <w:t>with first name “</w:t>
      </w:r>
      <w:r w:rsidR="00DD087C">
        <w:rPr>
          <w:lang w:val="en-NZ"/>
        </w:rPr>
        <w:t>Patient</w:t>
      </w:r>
      <w:r>
        <w:rPr>
          <w:lang w:val="en-NZ"/>
        </w:rPr>
        <w:t>” and last name of “</w:t>
      </w:r>
      <w:r w:rsidR="00DD087C">
        <w:rPr>
          <w:lang w:val="en-NZ"/>
        </w:rPr>
        <w:t>Dashboard”.</w:t>
      </w:r>
      <w:r>
        <w:rPr>
          <w:lang w:val="en-NZ"/>
        </w:rPr>
        <w:t xml:space="preserve">  </w:t>
      </w:r>
      <w:proofErr w:type="spellStart"/>
      <w:r>
        <w:rPr>
          <w:lang w:val="en-NZ"/>
        </w:rPr>
        <w:t>Untick</w:t>
      </w:r>
      <w:proofErr w:type="spellEnd"/>
      <w:r>
        <w:rPr>
          <w:lang w:val="en-NZ"/>
        </w:rPr>
        <w:t xml:space="preserve"> “Patient”.</w:t>
      </w:r>
    </w:p>
    <w:p w:rsidR="00DD087C" w:rsidRDefault="00DD087C" w:rsidP="00DD087C">
      <w:pPr>
        <w:rPr>
          <w:lang w:val="en-NZ"/>
        </w:rPr>
      </w:pPr>
      <w:r>
        <w:rPr>
          <w:lang w:val="en-NZ"/>
        </w:rPr>
        <w:t>Run the form “Patient Dashboard Customise</w:t>
      </w:r>
      <w:r w:rsidR="0063270B">
        <w:rPr>
          <w:lang w:val="en-NZ"/>
        </w:rPr>
        <w:t xml:space="preserve"> V4</w:t>
      </w:r>
      <w:r>
        <w:rPr>
          <w:lang w:val="en-NZ"/>
        </w:rPr>
        <w:t>”.</w:t>
      </w:r>
    </w:p>
    <w:p w:rsidR="00DD087C" w:rsidRDefault="00352081" w:rsidP="00DD087C">
      <w:pPr>
        <w:rPr>
          <w:lang w:val="en-NZ"/>
        </w:rPr>
      </w:pPr>
      <w:r>
        <w:rPr>
          <w:lang w:val="en-NZ"/>
        </w:rPr>
        <w:t xml:space="preserve">Check that outcome codes are correctly set to “Normal”, “Abnormal”, </w:t>
      </w:r>
      <w:proofErr w:type="gramStart"/>
      <w:r>
        <w:rPr>
          <w:lang w:val="en-NZ"/>
        </w:rPr>
        <w:t>“</w:t>
      </w:r>
      <w:proofErr w:type="gramEnd"/>
      <w:r>
        <w:rPr>
          <w:lang w:val="en-NZ"/>
        </w:rPr>
        <w:t>Excluded”, “Ignored” or “Declined” for the following entries.</w:t>
      </w:r>
    </w:p>
    <w:p w:rsidR="006614BE" w:rsidRDefault="00352081" w:rsidP="00DD087C">
      <w:pPr>
        <w:rPr>
          <w:lang w:val="en-NZ"/>
        </w:rPr>
      </w:pPr>
      <w:r>
        <w:rPr>
          <w:lang w:val="en-NZ"/>
        </w:rPr>
        <w:t>Note</w:t>
      </w:r>
      <w:r w:rsidR="006614BE">
        <w:rPr>
          <w:lang w:val="en-NZ"/>
        </w:rPr>
        <w:t>:</w:t>
      </w:r>
    </w:p>
    <w:p w:rsidR="00352081" w:rsidRDefault="006614BE" w:rsidP="00DD087C">
      <w:pPr>
        <w:rPr>
          <w:lang w:val="en-NZ"/>
        </w:rPr>
      </w:pPr>
      <w:r>
        <w:rPr>
          <w:lang w:val="en-NZ"/>
        </w:rPr>
        <w:t>I</w:t>
      </w:r>
      <w:r w:rsidR="00352081">
        <w:rPr>
          <w:lang w:val="en-NZ"/>
        </w:rPr>
        <w:t>f they are wrong they must be changed within the definition of the screening term itself (other than for “Declined” which is set in the customisation form).</w:t>
      </w:r>
    </w:p>
    <w:p w:rsidR="006614BE" w:rsidRDefault="006614BE" w:rsidP="00DD087C">
      <w:pPr>
        <w:rPr>
          <w:lang w:val="en-NZ"/>
        </w:rPr>
      </w:pPr>
      <w:r>
        <w:rPr>
          <w:lang w:val="en-NZ"/>
        </w:rPr>
        <w:t>“Declined” should have an outcome indicator of “Invalid”.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Alcohol Consumption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Cervical Screening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CVD Risk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Diabetes Annual Review (if implemented)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Diabetes Screening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Mammography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Vault Smear (if defined)</w:t>
      </w:r>
    </w:p>
    <w:p w:rsidR="009056A5" w:rsidRDefault="00C6467F" w:rsidP="005E78E2">
      <w:pPr>
        <w:pStyle w:val="Heading2"/>
        <w:rPr>
          <w:lang w:val="en-NZ"/>
        </w:rPr>
      </w:pPr>
      <w:r>
        <w:rPr>
          <w:lang w:val="en-NZ"/>
        </w:rPr>
        <w:t>8</w:t>
      </w:r>
      <w:r w:rsidR="009056A5">
        <w:rPr>
          <w:lang w:val="en-NZ"/>
        </w:rPr>
        <w:t>. Test</w:t>
      </w:r>
    </w:p>
    <w:p w:rsidR="009056A5" w:rsidRDefault="009056A5" w:rsidP="009056A5">
      <w:pPr>
        <w:pStyle w:val="ListBullet"/>
        <w:rPr>
          <w:lang w:val="en-NZ"/>
        </w:rPr>
      </w:pPr>
      <w:r>
        <w:rPr>
          <w:lang w:val="en-NZ"/>
        </w:rPr>
        <w:t>Diabetic patient:</w:t>
      </w:r>
    </w:p>
    <w:p w:rsidR="009056A5" w:rsidRDefault="009056A5" w:rsidP="009056A5">
      <w:pPr>
        <w:pStyle w:val="ListBullet2"/>
        <w:rPr>
          <w:lang w:val="en-NZ"/>
        </w:rPr>
      </w:pPr>
      <w:proofErr w:type="spellStart"/>
      <w:r>
        <w:rPr>
          <w:lang w:val="en-NZ"/>
        </w:rPr>
        <w:t>ACR</w:t>
      </w:r>
      <w:proofErr w:type="spellEnd"/>
    </w:p>
    <w:p w:rsidR="009056A5" w:rsidRDefault="009056A5" w:rsidP="009056A5">
      <w:pPr>
        <w:pStyle w:val="ListBullet2"/>
        <w:rPr>
          <w:lang w:val="en-NZ"/>
        </w:rPr>
      </w:pPr>
      <w:r>
        <w:rPr>
          <w:lang w:val="en-NZ"/>
        </w:rPr>
        <w:t>Serum Creatinine</w:t>
      </w:r>
    </w:p>
    <w:p w:rsidR="009056A5" w:rsidRDefault="009056A5" w:rsidP="009056A5">
      <w:pPr>
        <w:pStyle w:val="ListBullet2"/>
        <w:rPr>
          <w:lang w:val="en-NZ"/>
        </w:rPr>
      </w:pPr>
      <w:proofErr w:type="spellStart"/>
      <w:r>
        <w:rPr>
          <w:lang w:val="en-NZ"/>
        </w:rPr>
        <w:t>eGFR</w:t>
      </w:r>
      <w:proofErr w:type="spellEnd"/>
    </w:p>
    <w:p w:rsidR="009056A5" w:rsidRDefault="009056A5" w:rsidP="009056A5">
      <w:pPr>
        <w:pStyle w:val="ListBullet2"/>
        <w:rPr>
          <w:lang w:val="en-NZ"/>
        </w:rPr>
      </w:pPr>
      <w:r>
        <w:rPr>
          <w:lang w:val="en-NZ"/>
        </w:rPr>
        <w:t>Retinal Screening</w:t>
      </w:r>
    </w:p>
    <w:p w:rsidR="009056A5" w:rsidRPr="009056A5" w:rsidRDefault="009056A5" w:rsidP="009056A5">
      <w:pPr>
        <w:pStyle w:val="ListBullet"/>
        <w:rPr>
          <w:lang w:val="en-NZ"/>
        </w:rPr>
      </w:pPr>
      <w:r>
        <w:rPr>
          <w:lang w:val="en-NZ"/>
        </w:rPr>
        <w:t>Go through a day’s worth of appointments.</w:t>
      </w:r>
    </w:p>
    <w:p w:rsidR="00E04D16" w:rsidRDefault="00C6467F" w:rsidP="005E78E2">
      <w:pPr>
        <w:pStyle w:val="Heading2"/>
        <w:rPr>
          <w:lang w:val="en-NZ"/>
        </w:rPr>
      </w:pPr>
      <w:r>
        <w:rPr>
          <w:lang w:val="en-NZ"/>
        </w:rPr>
        <w:t>9</w:t>
      </w:r>
      <w:r w:rsidR="00E04D16">
        <w:rPr>
          <w:lang w:val="en-NZ"/>
        </w:rPr>
        <w:t>. Training Checklist</w:t>
      </w:r>
    </w:p>
    <w:p w:rsidR="00647791" w:rsidRDefault="00647791" w:rsidP="00E04D16">
      <w:pPr>
        <w:pStyle w:val="ListBullet"/>
        <w:rPr>
          <w:lang w:val="en-NZ"/>
        </w:rPr>
      </w:pPr>
      <w:r>
        <w:rPr>
          <w:lang w:val="en-NZ"/>
        </w:rPr>
        <w:t>Don’t close dashboard – move it, resize it, minimise it, but don’t close it.</w:t>
      </w:r>
    </w:p>
    <w:p w:rsidR="00647791" w:rsidRDefault="00C6467F" w:rsidP="00E04D16">
      <w:pPr>
        <w:pStyle w:val="ListBullet"/>
        <w:rPr>
          <w:lang w:val="en-NZ"/>
        </w:rPr>
      </w:pPr>
      <w:r>
        <w:rPr>
          <w:lang w:val="en-NZ"/>
        </w:rPr>
        <w:t>Resizing</w:t>
      </w:r>
      <w:r w:rsidR="00647791">
        <w:rPr>
          <w:lang w:val="en-NZ"/>
        </w:rPr>
        <w:t>.</w:t>
      </w:r>
      <w:r>
        <w:rPr>
          <w:lang w:val="en-NZ"/>
        </w:rPr>
        <w:t xml:space="preserve">  You can hover over the traffic light.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The meaning of the green, red, yellow, blue and grey traffic lights.</w:t>
      </w:r>
    </w:p>
    <w:p w:rsidR="00647791" w:rsidRDefault="00647791" w:rsidP="00E04D16">
      <w:pPr>
        <w:pStyle w:val="ListBullet"/>
        <w:rPr>
          <w:lang w:val="en-NZ"/>
        </w:rPr>
      </w:pPr>
      <w:r>
        <w:rPr>
          <w:lang w:val="en-NZ"/>
        </w:rPr>
        <w:t>You can click on the traffic light.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The date column.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The green, red, and blue buttons.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The “info” buttons.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Conditions of Interest – the pop-up form to add new classifications.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Highlighting classifications to make them appear on dashboard.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Quick Links</w:t>
      </w:r>
      <w:r w:rsidR="005441A2">
        <w:rPr>
          <w:lang w:val="en-NZ"/>
        </w:rPr>
        <w:t>.</w:t>
      </w:r>
    </w:p>
    <w:p w:rsidR="005441A2" w:rsidRDefault="005441A2" w:rsidP="00E04D16">
      <w:pPr>
        <w:pStyle w:val="ListBullet"/>
        <w:rPr>
          <w:lang w:val="en-NZ"/>
        </w:rPr>
      </w:pPr>
      <w:r>
        <w:rPr>
          <w:lang w:val="en-NZ"/>
        </w:rPr>
        <w:t>Screen refreshes when you click outside of dashboard and then go back.</w:t>
      </w:r>
    </w:p>
    <w:p w:rsidR="005441A2" w:rsidRDefault="005441A2" w:rsidP="00E04D16">
      <w:pPr>
        <w:pStyle w:val="ListBullet"/>
        <w:rPr>
          <w:lang w:val="en-NZ"/>
        </w:rPr>
      </w:pPr>
      <w:r>
        <w:rPr>
          <w:lang w:val="en-NZ"/>
        </w:rPr>
        <w:t>Diabetes management.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Adding your own notes.</w:t>
      </w:r>
    </w:p>
    <w:p w:rsidR="00EF6AEB" w:rsidRDefault="00F23C01" w:rsidP="005E78E2">
      <w:pPr>
        <w:pStyle w:val="Heading2"/>
        <w:rPr>
          <w:lang w:val="en-NZ"/>
        </w:rPr>
      </w:pPr>
      <w:r>
        <w:rPr>
          <w:lang w:val="en-NZ"/>
        </w:rPr>
        <w:br w:type="column"/>
      </w:r>
      <w:r w:rsidR="00233C37">
        <w:rPr>
          <w:lang w:val="en-NZ"/>
        </w:rPr>
        <w:lastRenderedPageBreak/>
        <w:t>10</w:t>
      </w:r>
      <w:r w:rsidR="00EF6AEB">
        <w:rPr>
          <w:lang w:val="en-NZ"/>
        </w:rPr>
        <w:t>. For the practice manager</w:t>
      </w:r>
    </w:p>
    <w:p w:rsidR="00EF6AEB" w:rsidRDefault="00EF6AEB" w:rsidP="00EF6AEB">
      <w:pPr>
        <w:pStyle w:val="ListBullet"/>
        <w:rPr>
          <w:lang w:val="en-NZ"/>
        </w:rPr>
      </w:pPr>
      <w:r>
        <w:rPr>
          <w:lang w:val="en-NZ"/>
        </w:rPr>
        <w:t>How to customise Patient Dashboard.</w:t>
      </w:r>
    </w:p>
    <w:p w:rsidR="00EF6AEB" w:rsidRDefault="00EF6AEB" w:rsidP="00EF6AEB">
      <w:pPr>
        <w:pStyle w:val="ListBullet"/>
        <w:rPr>
          <w:lang w:val="en-NZ"/>
        </w:rPr>
      </w:pPr>
      <w:r>
        <w:rPr>
          <w:lang w:val="en-NZ"/>
        </w:rPr>
        <w:t>How to turn on Patient Dashboard for individual staff members.</w:t>
      </w:r>
    </w:p>
    <w:p w:rsidR="001103CA" w:rsidRPr="00EF6AEB" w:rsidRDefault="001103CA" w:rsidP="00EF6AEB">
      <w:pPr>
        <w:pStyle w:val="ListBullet"/>
        <w:rPr>
          <w:lang w:val="en-NZ"/>
        </w:rPr>
      </w:pPr>
      <w:r>
        <w:rPr>
          <w:lang w:val="en-NZ"/>
        </w:rPr>
        <w:t>The toolbar button for those who don’t want it on all the time.</w:t>
      </w:r>
    </w:p>
    <w:p w:rsidR="005E78E2" w:rsidRDefault="009056A5" w:rsidP="005E78E2">
      <w:pPr>
        <w:pStyle w:val="Heading2"/>
        <w:rPr>
          <w:lang w:val="en-NZ"/>
        </w:rPr>
      </w:pPr>
      <w:r>
        <w:rPr>
          <w:lang w:val="en-NZ"/>
        </w:rPr>
        <w:t>1</w:t>
      </w:r>
      <w:r w:rsidR="00233C37">
        <w:rPr>
          <w:lang w:val="en-NZ"/>
        </w:rPr>
        <w:t>1</w:t>
      </w:r>
      <w:r w:rsidR="009D5723">
        <w:rPr>
          <w:lang w:val="en-NZ"/>
        </w:rPr>
        <w:t xml:space="preserve">. </w:t>
      </w:r>
      <w:r w:rsidR="005E78E2">
        <w:rPr>
          <w:lang w:val="en-NZ"/>
        </w:rPr>
        <w:t>Turn on version 4 (when ready):</w:t>
      </w:r>
    </w:p>
    <w:p w:rsidR="007C32DF" w:rsidRPr="007C32DF" w:rsidRDefault="007C32DF" w:rsidP="007C32DF">
      <w:pPr>
        <w:rPr>
          <w:lang w:val="en-NZ"/>
        </w:rPr>
      </w:pPr>
      <w:r>
        <w:rPr>
          <w:lang w:val="en-NZ"/>
        </w:rPr>
        <w:t>(You can manually run version 4 [Shift-F3 to run a new form] for testing).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 xml:space="preserve">Setup </w:t>
      </w:r>
      <w:r w:rsidRPr="005E78E2">
        <w:rPr>
          <w:lang w:val="en-NZ"/>
        </w:rPr>
        <w:sym w:font="Wingdings" w:char="F0E0"/>
      </w:r>
      <w:r>
        <w:rPr>
          <w:lang w:val="en-NZ"/>
        </w:rPr>
        <w:t xml:space="preserve"> Reference </w:t>
      </w:r>
      <w:proofErr w:type="spellStart"/>
      <w:r>
        <w:rPr>
          <w:lang w:val="en-NZ"/>
        </w:rPr>
        <w:t>Nos</w:t>
      </w:r>
      <w:proofErr w:type="spellEnd"/>
      <w:r>
        <w:rPr>
          <w:lang w:val="en-NZ"/>
        </w:rPr>
        <w:t>…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>“Documents” tab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>Change the dashboard form to the new version.</w:t>
      </w:r>
    </w:p>
    <w:sectPr w:rsidR="005E78E2" w:rsidSect="00667D4C">
      <w:type w:val="continuous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D33" w:rsidRDefault="00A06D33" w:rsidP="00F8758C">
      <w:pPr>
        <w:spacing w:before="0"/>
      </w:pPr>
      <w:r>
        <w:separator/>
      </w:r>
    </w:p>
  </w:endnote>
  <w:endnote w:type="continuationSeparator" w:id="0">
    <w:p w:rsidR="00A06D33" w:rsidRDefault="00A06D33" w:rsidP="00F875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F8758C">
      <w:tc>
        <w:tcPr>
          <w:tcW w:w="918" w:type="dxa"/>
        </w:tcPr>
        <w:p w:rsidR="00F8758C" w:rsidRDefault="00F8758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857D0" w:rsidRPr="003857D0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F8758C" w:rsidRDefault="00F8758C">
          <w:pPr>
            <w:pStyle w:val="Footer"/>
          </w:pPr>
        </w:p>
      </w:tc>
    </w:tr>
  </w:tbl>
  <w:p w:rsidR="00F8758C" w:rsidRDefault="00F8758C" w:rsidP="000B0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D33" w:rsidRDefault="00A06D33" w:rsidP="00F8758C">
      <w:pPr>
        <w:spacing w:before="0"/>
      </w:pPr>
      <w:r>
        <w:separator/>
      </w:r>
    </w:p>
  </w:footnote>
  <w:footnote w:type="continuationSeparator" w:id="0">
    <w:p w:rsidR="00A06D33" w:rsidRDefault="00A06D33" w:rsidP="00F875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42AA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A46AD"/>
    <w:multiLevelType w:val="hybridMultilevel"/>
    <w:tmpl w:val="1AE2B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091795"/>
    <w:rsid w:val="000B01D5"/>
    <w:rsid w:val="001103CA"/>
    <w:rsid w:val="00116EB2"/>
    <w:rsid w:val="00124F6F"/>
    <w:rsid w:val="001268F5"/>
    <w:rsid w:val="00157A68"/>
    <w:rsid w:val="0017358F"/>
    <w:rsid w:val="001C2BED"/>
    <w:rsid w:val="001D248C"/>
    <w:rsid w:val="001F2802"/>
    <w:rsid w:val="002179AE"/>
    <w:rsid w:val="00233C37"/>
    <w:rsid w:val="002365E6"/>
    <w:rsid w:val="002A49BE"/>
    <w:rsid w:val="002D1BEA"/>
    <w:rsid w:val="002D351C"/>
    <w:rsid w:val="00306CC6"/>
    <w:rsid w:val="00325F91"/>
    <w:rsid w:val="00335B04"/>
    <w:rsid w:val="00335CB9"/>
    <w:rsid w:val="00345C20"/>
    <w:rsid w:val="00352081"/>
    <w:rsid w:val="00370A43"/>
    <w:rsid w:val="003857D0"/>
    <w:rsid w:val="00412E59"/>
    <w:rsid w:val="00422E7B"/>
    <w:rsid w:val="00445B80"/>
    <w:rsid w:val="0046174C"/>
    <w:rsid w:val="004B3122"/>
    <w:rsid w:val="00530D28"/>
    <w:rsid w:val="00534CB5"/>
    <w:rsid w:val="00537A70"/>
    <w:rsid w:val="005441A2"/>
    <w:rsid w:val="005A0587"/>
    <w:rsid w:val="005B2A77"/>
    <w:rsid w:val="005E78E2"/>
    <w:rsid w:val="005F2931"/>
    <w:rsid w:val="005F64C3"/>
    <w:rsid w:val="0063270B"/>
    <w:rsid w:val="00647791"/>
    <w:rsid w:val="006614BE"/>
    <w:rsid w:val="00667D4C"/>
    <w:rsid w:val="00683380"/>
    <w:rsid w:val="006943F9"/>
    <w:rsid w:val="006B2FEB"/>
    <w:rsid w:val="00724D7B"/>
    <w:rsid w:val="00741F90"/>
    <w:rsid w:val="007B519D"/>
    <w:rsid w:val="007C32DF"/>
    <w:rsid w:val="007C3D51"/>
    <w:rsid w:val="007F14BA"/>
    <w:rsid w:val="00820E6C"/>
    <w:rsid w:val="0084480E"/>
    <w:rsid w:val="008C2938"/>
    <w:rsid w:val="008F5604"/>
    <w:rsid w:val="009056A5"/>
    <w:rsid w:val="00917281"/>
    <w:rsid w:val="00927089"/>
    <w:rsid w:val="00937ED3"/>
    <w:rsid w:val="009401ED"/>
    <w:rsid w:val="00983A0F"/>
    <w:rsid w:val="009849FE"/>
    <w:rsid w:val="009D5723"/>
    <w:rsid w:val="00A04392"/>
    <w:rsid w:val="00A06D33"/>
    <w:rsid w:val="00A33759"/>
    <w:rsid w:val="00A34A2B"/>
    <w:rsid w:val="00AE07B6"/>
    <w:rsid w:val="00AF3070"/>
    <w:rsid w:val="00AF4645"/>
    <w:rsid w:val="00AF6904"/>
    <w:rsid w:val="00B102BD"/>
    <w:rsid w:val="00B352D0"/>
    <w:rsid w:val="00B60BC9"/>
    <w:rsid w:val="00B86F48"/>
    <w:rsid w:val="00BA4060"/>
    <w:rsid w:val="00BB3387"/>
    <w:rsid w:val="00BD5E40"/>
    <w:rsid w:val="00C27127"/>
    <w:rsid w:val="00C30339"/>
    <w:rsid w:val="00C330F2"/>
    <w:rsid w:val="00C367DD"/>
    <w:rsid w:val="00C41FBE"/>
    <w:rsid w:val="00C43CF3"/>
    <w:rsid w:val="00C446B0"/>
    <w:rsid w:val="00C46A2A"/>
    <w:rsid w:val="00C6467F"/>
    <w:rsid w:val="00C75074"/>
    <w:rsid w:val="00C97E5F"/>
    <w:rsid w:val="00CA249E"/>
    <w:rsid w:val="00CE7A8B"/>
    <w:rsid w:val="00D23347"/>
    <w:rsid w:val="00DD087C"/>
    <w:rsid w:val="00DE65C0"/>
    <w:rsid w:val="00E04D16"/>
    <w:rsid w:val="00E236F7"/>
    <w:rsid w:val="00E4185E"/>
    <w:rsid w:val="00E52A40"/>
    <w:rsid w:val="00E82BC0"/>
    <w:rsid w:val="00EA5FE5"/>
    <w:rsid w:val="00EB4F7E"/>
    <w:rsid w:val="00EC31FA"/>
    <w:rsid w:val="00EF6AEB"/>
    <w:rsid w:val="00F0035C"/>
    <w:rsid w:val="00F04F2C"/>
    <w:rsid w:val="00F23C01"/>
    <w:rsid w:val="00F51069"/>
    <w:rsid w:val="00F77971"/>
    <w:rsid w:val="00F84DE7"/>
    <w:rsid w:val="00F8758C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con.co.nz/wellsout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3</cp:revision>
  <cp:lastPrinted>2014-07-28T23:50:00Z</cp:lastPrinted>
  <dcterms:created xsi:type="dcterms:W3CDTF">2014-10-08T03:02:00Z</dcterms:created>
  <dcterms:modified xsi:type="dcterms:W3CDTF">2014-11-15T04:08:00Z</dcterms:modified>
</cp:coreProperties>
</file>